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B42AB9" w:rsidRDefault="00B42AB9" w:rsidP="00B42AB9"/>
    <w:p w:rsidR="00B42AB9" w:rsidRDefault="00B42AB9" w:rsidP="00B42AB9"/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B42AB9" w:rsidRPr="00865AFE" w:rsidTr="00D36226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B42AB9" w:rsidRPr="00B42AB9" w:rsidTr="00D3622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42AB9" w:rsidRPr="00B42AB9" w:rsidRDefault="00B42AB9" w:rsidP="00D3622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sz w:val="22"/>
                      <w:szCs w:val="22"/>
                    </w:rPr>
                  </w:pPr>
                  <w:r w:rsidRPr="00B42AB9">
                    <w:rPr>
                      <w:sz w:val="22"/>
                      <w:szCs w:val="22"/>
                    </w:rPr>
                    <w:t xml:space="preserve">26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Ocak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2013 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42AB9" w:rsidRPr="00B42AB9" w:rsidRDefault="00B42AB9" w:rsidP="00D3622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42AB9">
                    <w:rPr>
                      <w:b/>
                      <w:color w:val="800080"/>
                      <w:sz w:val="22"/>
                      <w:szCs w:val="22"/>
                    </w:rPr>
                    <w:t>Resmî</w:t>
                  </w:r>
                  <w:proofErr w:type="spellEnd"/>
                  <w:r w:rsidRPr="00B42AB9">
                    <w:rPr>
                      <w:b/>
                      <w:color w:val="800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b/>
                      <w:color w:val="800080"/>
                      <w:sz w:val="22"/>
                      <w:szCs w:val="22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42AB9" w:rsidRPr="00B42AB9" w:rsidRDefault="00B42AB9" w:rsidP="00D36226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B42AB9">
                    <w:rPr>
                      <w:sz w:val="22"/>
                      <w:szCs w:val="22"/>
                    </w:rPr>
                    <w:t>Sayı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: 28540</w:t>
                  </w:r>
                </w:p>
              </w:tc>
            </w:tr>
            <w:tr w:rsidR="00B42AB9" w:rsidRPr="00B42AB9" w:rsidTr="00D3622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B42AB9" w:rsidRPr="00B42AB9" w:rsidRDefault="00B42AB9" w:rsidP="00D36226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B42AB9">
                    <w:rPr>
                      <w:b/>
                      <w:color w:val="000080"/>
                      <w:sz w:val="22"/>
                      <w:szCs w:val="22"/>
                    </w:rPr>
                    <w:t>TEBLİĞ</w:t>
                  </w:r>
                </w:p>
              </w:tc>
            </w:tr>
            <w:tr w:rsidR="00B42AB9" w:rsidRPr="00B42AB9" w:rsidTr="00D3622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B42AB9" w:rsidRPr="00B42AB9" w:rsidRDefault="00B42AB9" w:rsidP="00D36226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B42AB9">
                    <w:rPr>
                      <w:sz w:val="22"/>
                      <w:szCs w:val="22"/>
                    </w:rPr>
                    <w:t>Maliye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Bakanlığından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>:</w:t>
                  </w:r>
                </w:p>
                <w:p w:rsidR="00B42AB9" w:rsidRPr="00B42AB9" w:rsidRDefault="00B42AB9" w:rsidP="00D36226">
                  <w:pPr>
                    <w:spacing w:before="56" w:after="100" w:afterAutospacing="1" w:line="240" w:lineRule="exact"/>
                    <w:rPr>
                      <w:b/>
                      <w:sz w:val="22"/>
                      <w:szCs w:val="22"/>
                    </w:rPr>
                  </w:pPr>
                  <w:r w:rsidRPr="00B42AB9">
                    <w:rPr>
                      <w:b/>
                      <w:sz w:val="22"/>
                      <w:szCs w:val="22"/>
                    </w:rPr>
                    <w:t>VERGİ USUL KANUNU GENEL TEBLİĞİ</w:t>
                  </w:r>
                </w:p>
                <w:p w:rsidR="00B42AB9" w:rsidRPr="00B42AB9" w:rsidRDefault="00B42AB9" w:rsidP="00D36226">
                  <w:pPr>
                    <w:spacing w:before="100" w:beforeAutospacing="1" w:after="170" w:line="240" w:lineRule="exact"/>
                    <w:rPr>
                      <w:b/>
                      <w:sz w:val="22"/>
                      <w:szCs w:val="22"/>
                    </w:rPr>
                  </w:pPr>
                  <w:r w:rsidRPr="00B42AB9">
                    <w:rPr>
                      <w:b/>
                      <w:sz w:val="22"/>
                      <w:szCs w:val="22"/>
                    </w:rPr>
                    <w:t>(SIRA NO: 423)</w:t>
                  </w:r>
                </w:p>
                <w:p w:rsidR="00B42AB9" w:rsidRPr="00B42AB9" w:rsidRDefault="00B42AB9" w:rsidP="00D36226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B42AB9">
                    <w:rPr>
                      <w:sz w:val="22"/>
                      <w:szCs w:val="22"/>
                    </w:rPr>
                    <w:t>Borsada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rayici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olmayan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yabancı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paraların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, 213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Usul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Kanunu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gereğince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2012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yılı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 için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yapılacak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değerlemelerine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esas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olmak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üzere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aynı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Kanunun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280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inci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maddesinin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ikinci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üçüncü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fıkralarında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yer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alan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hükümlere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dayanılarak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tespit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olunan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kurlar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aşağıda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gösterilmiştir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>.</w:t>
                  </w:r>
                </w:p>
                <w:p w:rsidR="00B42AB9" w:rsidRPr="00B42AB9" w:rsidRDefault="00B42AB9" w:rsidP="00D36226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B42AB9">
                    <w:rPr>
                      <w:sz w:val="22"/>
                      <w:szCs w:val="22"/>
                    </w:rPr>
                    <w:t>Borsada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rayici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olmayan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yabancı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paraların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bu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paralarla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olan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senetli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senetsiz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alacak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borçların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değerlemesinde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2012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yılı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sonu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itibariyle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bu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kurlar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uygulanacaktır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>.</w:t>
                  </w:r>
                </w:p>
                <w:p w:rsidR="00B42AB9" w:rsidRPr="00B42AB9" w:rsidRDefault="00B42AB9" w:rsidP="00D36226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B42AB9">
                    <w:rPr>
                      <w:sz w:val="22"/>
                      <w:szCs w:val="22"/>
                    </w:rPr>
                    <w:t>Öte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yandan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, 20/4/1976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tarihli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15565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Resmî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yayımlanan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130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Sıra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Numaralı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Usul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Kanunu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Genel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Tebliği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ile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27/12/1998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tarihli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23566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Resmî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yayımlanan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217 Seri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Numaralı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Gelir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Vergisi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Genel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Tebliğinde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belirtildiği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üzere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değerleme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günü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itibariyle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Bakanlığımızca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kur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edilmediği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durumlarda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T.C.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Merkez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Bankasınca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edilen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kurların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esas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alınması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gerekmektedir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. Bu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şekilde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yapılacak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değerlemelerde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efektif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cinsinden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yabancı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paralar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için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efektif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alış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kurunun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bulunmaması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halinde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döviz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alış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kurunun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),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döviz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cinsinden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yabancı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paralar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içinse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döviz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alış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kurunun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uygulanacağı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tabiidir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>.</w:t>
                  </w:r>
                </w:p>
                <w:p w:rsidR="00B42AB9" w:rsidRPr="00B42AB9" w:rsidRDefault="00B42AB9" w:rsidP="00D36226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B42AB9">
                    <w:rPr>
                      <w:sz w:val="22"/>
                      <w:szCs w:val="22"/>
                    </w:rPr>
                    <w:t>Ancak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uygulamaları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açısından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bankaların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31/12/2012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tarihi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itibariyle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yapacakları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değerleme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sırasında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bu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Tebliğ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ile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belirlenen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kurlar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yerine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, T.C.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Merkez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Bankasınca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belirlenen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esaslara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uygun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olarak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tespit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ettikleri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fiilen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uyguladıkları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alış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kurlarını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esas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almaları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gerekmektedir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>.</w:t>
                  </w:r>
                </w:p>
                <w:p w:rsidR="00B42AB9" w:rsidRPr="00B42AB9" w:rsidRDefault="00B42AB9" w:rsidP="00D36226">
                  <w:pPr>
                    <w:spacing w:before="100" w:beforeAutospacing="1" w:after="85" w:line="240" w:lineRule="exac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B42AB9">
                    <w:rPr>
                      <w:sz w:val="22"/>
                      <w:szCs w:val="22"/>
                    </w:rPr>
                    <w:t>Tebliğ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2AB9">
                    <w:rPr>
                      <w:sz w:val="22"/>
                      <w:szCs w:val="22"/>
                    </w:rPr>
                    <w:t>olunur</w:t>
                  </w:r>
                  <w:proofErr w:type="spellEnd"/>
                  <w:r w:rsidRPr="00B42AB9">
                    <w:rPr>
                      <w:sz w:val="22"/>
                      <w:szCs w:val="22"/>
                    </w:rPr>
                    <w:t>.</w:t>
                  </w:r>
                </w:p>
                <w:p w:rsidR="00B42AB9" w:rsidRPr="00B42AB9" w:rsidRDefault="00B42AB9" w:rsidP="00D36226">
                  <w:pPr>
                    <w:spacing w:before="100" w:beforeAutospacing="1" w:after="100" w:afterAutospacing="1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B42AB9">
                    <w:rPr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4"/>
                    <w:gridCol w:w="4576"/>
                    <w:gridCol w:w="1525"/>
                  </w:tblGrid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b/>
                            <w:bCs/>
                            <w:sz w:val="22"/>
                            <w:szCs w:val="22"/>
                          </w:rPr>
                          <w:t>SIRA NO</w:t>
                        </w:r>
                      </w:p>
                    </w:tc>
                    <w:tc>
                      <w:tcPr>
                        <w:tcW w:w="4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42AB9" w:rsidRPr="00B42AB9" w:rsidRDefault="00B42AB9" w:rsidP="00D36226">
                        <w:pPr>
                          <w:spacing w:line="20" w:lineRule="atLeast"/>
                          <w:outlineLvl w:val="0"/>
                          <w:rPr>
                            <w:b/>
                            <w:bCs/>
                            <w:kern w:val="36"/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b/>
                            <w:bCs/>
                            <w:kern w:val="36"/>
                            <w:sz w:val="22"/>
                            <w:szCs w:val="22"/>
                          </w:rPr>
                          <w:t>DÖVİZLER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b/>
                            <w:bCs/>
                            <w:sz w:val="22"/>
                            <w:szCs w:val="22"/>
                          </w:rPr>
                          <w:t>KUR (TL)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Amerikan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tabs>
                            <w:tab w:val="left" w:pos="5220"/>
                          </w:tabs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1,7826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Arjantin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Pesosu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tabs>
                            <w:tab w:val="left" w:pos="5220"/>
                          </w:tabs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0,36471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Arnavutluk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Leki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0,01694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Avustralya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1,8477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Azerbaycan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Yeni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Manatı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2,2835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B.A.E.Dirhemi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B42AB9">
                          <w:rPr>
                            <w:sz w:val="22"/>
                            <w:szCs w:val="22"/>
                          </w:rPr>
                          <w:t>0,48766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Bahama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1,7912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Bahreyn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4,7509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Bangladeş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Takası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0,02244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Barbados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0,90010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Belarus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Rublesi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0,00021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Bolivya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Boliviyanosu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0,25552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Botsvana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Pulası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0,22990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Brezilya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Reali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0,87576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Bulgar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Levası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1,1924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Burundi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Frangı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0,00116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Cezayir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0,02288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Çek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Korunası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0,09400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Çin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Yuanı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0,28369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Danimarka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Kronu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0,31518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Dominik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Pesosu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0,04484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Endonezya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Rupisi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0,00019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Etiyopya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Birri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0,09803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Fas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Dirhemi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0,21192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Filipin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Pesosu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0,04362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Gana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Yeni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Sedisi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0,94150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Guatemala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Quetzali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0,22659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Guyana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0,00876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Güney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Afrika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Randı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0,21045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Güney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Kore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Wonu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0,00168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>Güney</w:t>
                        </w:r>
                        <w:proofErr w:type="spellEnd"/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 xml:space="preserve"> Sudan </w:t>
                        </w:r>
                        <w:proofErr w:type="spellStart"/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>Lirası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0,49074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Haiti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Gourdesi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0,04250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Hırvatistan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Kunası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0,31296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Hindistan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Rupisi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0,03271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Honduras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Lempirası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0,08996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Hong Kong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0,23107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37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Irak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0,00154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38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100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İran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Riyali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0,01442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39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İngiliz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Sterlini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2,8708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İsveç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Kronu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0,27219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İsviçre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Frangı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1,9430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İzlanda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Kronu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0,01393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100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Japon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Yeni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2,0656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Kanada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1,7919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Katar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Riyali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0,49197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46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Kazakistan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Tengesi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0,01191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47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Kolombiya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Pesosu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0,00101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48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Kosta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Rika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Kolonu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0,00350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49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Kuveyt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6,2781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Laos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Yeni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Kipi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0,00022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Latviya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Latsı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3,3876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Lesotho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Lotisi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0,21048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Liberya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0,02471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Libya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1,4193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Litvanya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Litası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0,68477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56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Lübnan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Lirası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0,00119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57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Macar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Forinti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0,00812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58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Malezya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Ringgiti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0,58498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59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Makedonya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0,03795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Meksika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Pesosu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0,13787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Mısır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Lirası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0,28942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Moldova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Leyi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0,14788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Nepal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Rupisi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0,02045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Nijerya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Nayrası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0,01148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Nikaragua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Kordobası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0,07356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66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Norveç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Kronu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0,31839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67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Özbekistan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Somu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0,00090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Pakistan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Rupisi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0,01819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69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Panama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Balboası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1,7912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lastRenderedPageBreak/>
                          <w:t>70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Paraguay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Guaranisi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0,00042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Peru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Yeni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Solu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0,70174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Polonya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Zlotisi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0,57934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Rumen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Leyi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0,52599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Rus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Rublesi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0,05808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Sırbistan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0,02080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76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Singapur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1,4646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77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Somali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Şilini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0,00112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78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Srilanka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Rupisi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0,01410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79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Sudan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Lirası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0,40571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Suriye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Lirası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0,02523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Suudi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Arabistan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Riyalı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0,47672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Şili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Pesosu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0,00373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Tayland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Bahtı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0,05854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Tayvan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0,06163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Tunus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1,1536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86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Ukrayna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Hryvnası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0,22251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87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Uruguay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Pesosu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0,09329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Umman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Riyali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4,6519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89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Ürdün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2,5253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Venezuella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Bolivarı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Fuerte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0,41708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91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Yemen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Riyali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0,00831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92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>Yeni</w:t>
                        </w:r>
                        <w:proofErr w:type="spellEnd"/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>İsrail</w:t>
                        </w:r>
                        <w:proofErr w:type="spellEnd"/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>Şekeli</w:t>
                        </w:r>
                        <w:proofErr w:type="spellEnd"/>
                        <w:r w:rsidRPr="00B42AB9">
                          <w:rPr>
                            <w:rFonts w:eastAsia="Arial Unicode MS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0,48009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93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Yeni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Zelanda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1,4717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94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Zambiya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Kvaçası</w:t>
                        </w:r>
                        <w:proofErr w:type="spellEnd"/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0,00034</w:t>
                        </w:r>
                      </w:p>
                    </w:tc>
                  </w:tr>
                  <w:tr w:rsidR="00B42AB9" w:rsidRPr="00B42AB9" w:rsidTr="00D36226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404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95</w:t>
                        </w:r>
                      </w:p>
                    </w:tc>
                    <w:tc>
                      <w:tcPr>
                        <w:tcW w:w="457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 Euro</w:t>
                        </w:r>
                      </w:p>
                    </w:tc>
                    <w:tc>
                      <w:tcPr>
                        <w:tcW w:w="1525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0" w:lineRule="atLeas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2,3517</w:t>
                        </w:r>
                      </w:p>
                    </w:tc>
                  </w:tr>
                </w:tbl>
                <w:p w:rsidR="00B42AB9" w:rsidRPr="00B42AB9" w:rsidRDefault="00B42AB9" w:rsidP="00D36226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B42AB9">
                    <w:rPr>
                      <w:rFonts w:eastAsia="Arial Unicode MS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51"/>
                    <w:gridCol w:w="4516"/>
                    <w:gridCol w:w="1538"/>
                  </w:tblGrid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b/>
                            <w:bCs/>
                            <w:sz w:val="22"/>
                            <w:szCs w:val="22"/>
                          </w:rPr>
                          <w:t>SIRA NO</w:t>
                        </w:r>
                      </w:p>
                    </w:tc>
                    <w:tc>
                      <w:tcPr>
                        <w:tcW w:w="4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b/>
                            <w:bCs/>
                            <w:sz w:val="22"/>
                            <w:szCs w:val="22"/>
                          </w:rPr>
                          <w:t>EFEKTİFLER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b/>
                            <w:bCs/>
                            <w:sz w:val="22"/>
                            <w:szCs w:val="22"/>
                          </w:rPr>
                          <w:t>KUR (TL)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ABD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1,7814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Avustralya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1,8392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Danimarka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Kronu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0,31496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İngiliz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Sterlini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2,8688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İsveç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Kronu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0,27200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İsviçre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Frangı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1,9401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100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Japon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Yeni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2,0580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Kanada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Doları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1,7853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Kuveyt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Dinarı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6,1839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Norveç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Kronu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0,31817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Suudi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Arabistan</w:t>
                        </w:r>
                        <w:proofErr w:type="spellEnd"/>
                        <w:r w:rsidRPr="00B42AB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2AB9">
                          <w:rPr>
                            <w:sz w:val="22"/>
                            <w:szCs w:val="22"/>
                          </w:rPr>
                          <w:t>Riyali</w:t>
                        </w:r>
                        <w:proofErr w:type="spellEnd"/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0,47314</w:t>
                        </w:r>
                      </w:p>
                    </w:tc>
                  </w:tr>
                  <w:tr w:rsidR="00B42AB9" w:rsidRPr="00B42AB9" w:rsidTr="00D36226">
                    <w:trPr>
                      <w:tblCellSpacing w:w="0" w:type="dxa"/>
                      <w:jc w:val="center"/>
                    </w:trPr>
                    <w:tc>
                      <w:tcPr>
                        <w:tcW w:w="2451" w:type="dxa"/>
                        <w:vAlign w:val="center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516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>1 Euro</w:t>
                        </w:r>
                      </w:p>
                    </w:tc>
                    <w:tc>
                      <w:tcPr>
                        <w:tcW w:w="1538" w:type="dxa"/>
                        <w:hideMark/>
                      </w:tcPr>
                      <w:p w:rsidR="00B42AB9" w:rsidRPr="00B42AB9" w:rsidRDefault="00B42AB9" w:rsidP="00D36226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42AB9">
                          <w:rPr>
                            <w:sz w:val="22"/>
                            <w:szCs w:val="22"/>
                          </w:rPr>
                          <w:t xml:space="preserve"> 2,3501</w:t>
                        </w:r>
                      </w:p>
                    </w:tc>
                  </w:tr>
                </w:tbl>
                <w:p w:rsidR="00B42AB9" w:rsidRPr="00B42AB9" w:rsidRDefault="00B42AB9" w:rsidP="00D3622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2AB9" w:rsidRPr="00865AFE" w:rsidRDefault="00B42AB9" w:rsidP="00D36226">
            <w:pPr>
              <w:rPr>
                <w:sz w:val="20"/>
              </w:rPr>
            </w:pPr>
          </w:p>
        </w:tc>
      </w:tr>
    </w:tbl>
    <w:p w:rsidR="00B42AB9" w:rsidRDefault="00B42AB9" w:rsidP="00B42AB9"/>
    <w:p w:rsidR="00B42AB9" w:rsidRDefault="00B42AB9" w:rsidP="00B42AB9"/>
    <w:p w:rsidR="00B42AB9" w:rsidRDefault="00B42AB9" w:rsidP="00B42AB9"/>
    <w:p w:rsidR="00077878" w:rsidRPr="00015C68" w:rsidRDefault="00077878" w:rsidP="00F27EA8">
      <w:pPr>
        <w:spacing w:before="100" w:beforeAutospacing="1" w:after="200"/>
        <w:rPr>
          <w:rFonts w:ascii="Tahoma" w:hAnsi="Tahoma" w:cs="Tahoma"/>
          <w:b/>
          <w:sz w:val="20"/>
          <w:szCs w:val="20"/>
        </w:rPr>
      </w:pPr>
    </w:p>
    <w:sectPr w:rsidR="00077878" w:rsidRPr="00015C68" w:rsidSect="00136C7A">
      <w:headerReference w:type="default" r:id="rId8"/>
      <w:headerReference w:type="first" r:id="rId9"/>
      <w:footerReference w:type="first" r:id="rId10"/>
      <w:pgSz w:w="11906" w:h="16838"/>
      <w:pgMar w:top="0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D4" w:rsidRDefault="00592BD4" w:rsidP="00053CFC">
      <w:r>
        <w:separator/>
      </w:r>
    </w:p>
  </w:endnote>
  <w:endnote w:type="continuationSeparator" w:id="0">
    <w:p w:rsidR="00592BD4" w:rsidRDefault="00592BD4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19050" t="0" r="0" b="0"/>
          <wp:wrapTight wrapText="bothSides">
            <wp:wrapPolygon edited="0">
              <wp:start x="-53" y="0"/>
              <wp:lineTo x="-53" y="21212"/>
              <wp:lineTo x="21588" y="21212"/>
              <wp:lineTo x="21588" y="0"/>
              <wp:lineTo x="-53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D4" w:rsidRDefault="00592BD4" w:rsidP="00053CFC">
      <w:r>
        <w:separator/>
      </w:r>
    </w:p>
  </w:footnote>
  <w:footnote w:type="continuationSeparator" w:id="0">
    <w:p w:rsidR="00592BD4" w:rsidRDefault="00592BD4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1905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1EBB" w:rsidRDefault="00191EBB" w:rsidP="00B60A51">
    <w:pPr>
      <w:pStyle w:val="stbilgi"/>
      <w:ind w:right="360"/>
      <w:rPr>
        <w:lang w:val="tr-TR"/>
      </w:rPr>
    </w:pPr>
  </w:p>
  <w:p w:rsidR="00191EBB" w:rsidRDefault="00191EBB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1905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1EBB" w:rsidRDefault="00191E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C"/>
      </v:shape>
    </w:pict>
  </w:numPicBullet>
  <w:numPicBullet w:numPicBulletId="1">
    <w:pict>
      <v:shape id="_x0000_i1033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4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48C7"/>
    <w:rsid w:val="00006DB2"/>
    <w:rsid w:val="00007AD2"/>
    <w:rsid w:val="0001129F"/>
    <w:rsid w:val="00011928"/>
    <w:rsid w:val="00015C68"/>
    <w:rsid w:val="000168A8"/>
    <w:rsid w:val="00017603"/>
    <w:rsid w:val="00017CDF"/>
    <w:rsid w:val="00017EA6"/>
    <w:rsid w:val="00021491"/>
    <w:rsid w:val="00021E24"/>
    <w:rsid w:val="00023100"/>
    <w:rsid w:val="00023C34"/>
    <w:rsid w:val="00025E27"/>
    <w:rsid w:val="0002652B"/>
    <w:rsid w:val="00026C78"/>
    <w:rsid w:val="000275D1"/>
    <w:rsid w:val="000278CE"/>
    <w:rsid w:val="00027ACF"/>
    <w:rsid w:val="000307A9"/>
    <w:rsid w:val="00030E70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6740D"/>
    <w:rsid w:val="000702C4"/>
    <w:rsid w:val="000705DE"/>
    <w:rsid w:val="0007183A"/>
    <w:rsid w:val="000719F0"/>
    <w:rsid w:val="00073A73"/>
    <w:rsid w:val="0007479A"/>
    <w:rsid w:val="00077878"/>
    <w:rsid w:val="000810A6"/>
    <w:rsid w:val="00082774"/>
    <w:rsid w:val="00082F15"/>
    <w:rsid w:val="000853A3"/>
    <w:rsid w:val="0009307B"/>
    <w:rsid w:val="00095E1A"/>
    <w:rsid w:val="00096424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B7DC7"/>
    <w:rsid w:val="000C2520"/>
    <w:rsid w:val="000C3D37"/>
    <w:rsid w:val="000C6D9E"/>
    <w:rsid w:val="000D0660"/>
    <w:rsid w:val="000D1115"/>
    <w:rsid w:val="000D2EB8"/>
    <w:rsid w:val="000D38D7"/>
    <w:rsid w:val="000D3900"/>
    <w:rsid w:val="000D3A3A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B9F"/>
    <w:rsid w:val="000F6D47"/>
    <w:rsid w:val="00101090"/>
    <w:rsid w:val="001015DF"/>
    <w:rsid w:val="00102481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36C7A"/>
    <w:rsid w:val="001426FF"/>
    <w:rsid w:val="0014287C"/>
    <w:rsid w:val="00142AD7"/>
    <w:rsid w:val="001503B9"/>
    <w:rsid w:val="0015078E"/>
    <w:rsid w:val="0015167D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1EBB"/>
    <w:rsid w:val="001928FE"/>
    <w:rsid w:val="00193853"/>
    <w:rsid w:val="00193A2D"/>
    <w:rsid w:val="001950EA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2E12"/>
    <w:rsid w:val="001E36EC"/>
    <w:rsid w:val="001E3ACE"/>
    <w:rsid w:val="001E49D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3736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292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E9F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5BA0"/>
    <w:rsid w:val="002D7274"/>
    <w:rsid w:val="002E02FC"/>
    <w:rsid w:val="002E0852"/>
    <w:rsid w:val="002E10EF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9B5"/>
    <w:rsid w:val="00323B20"/>
    <w:rsid w:val="003244D2"/>
    <w:rsid w:val="00324A0D"/>
    <w:rsid w:val="00326846"/>
    <w:rsid w:val="00326DF7"/>
    <w:rsid w:val="00327D71"/>
    <w:rsid w:val="003306E6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06B5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42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5F84"/>
    <w:rsid w:val="003F66E6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62F3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3C14"/>
    <w:rsid w:val="004C6992"/>
    <w:rsid w:val="004C6A93"/>
    <w:rsid w:val="004C6D0D"/>
    <w:rsid w:val="004D0605"/>
    <w:rsid w:val="004D7796"/>
    <w:rsid w:val="004D7A69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2B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161F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6BBC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574E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07A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4ED8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506E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1743A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419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58D"/>
    <w:rsid w:val="00981CE6"/>
    <w:rsid w:val="00983D3A"/>
    <w:rsid w:val="00990D31"/>
    <w:rsid w:val="00991259"/>
    <w:rsid w:val="009925B2"/>
    <w:rsid w:val="009927C4"/>
    <w:rsid w:val="0099601C"/>
    <w:rsid w:val="00996DA6"/>
    <w:rsid w:val="009A185C"/>
    <w:rsid w:val="009A3068"/>
    <w:rsid w:val="009A50F6"/>
    <w:rsid w:val="009A5B9E"/>
    <w:rsid w:val="009B0683"/>
    <w:rsid w:val="009B132E"/>
    <w:rsid w:val="009B1A6D"/>
    <w:rsid w:val="009B361B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D7369"/>
    <w:rsid w:val="009E337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9F6CC2"/>
    <w:rsid w:val="00A00828"/>
    <w:rsid w:val="00A00CEF"/>
    <w:rsid w:val="00A02785"/>
    <w:rsid w:val="00A054D0"/>
    <w:rsid w:val="00A05FD6"/>
    <w:rsid w:val="00A06C7B"/>
    <w:rsid w:val="00A101C4"/>
    <w:rsid w:val="00A12431"/>
    <w:rsid w:val="00A12A84"/>
    <w:rsid w:val="00A132E1"/>
    <w:rsid w:val="00A144B0"/>
    <w:rsid w:val="00A1469B"/>
    <w:rsid w:val="00A14EDF"/>
    <w:rsid w:val="00A16CB1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15D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8799B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2AB9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0581"/>
    <w:rsid w:val="00BC2290"/>
    <w:rsid w:val="00BC2B6A"/>
    <w:rsid w:val="00BC3DD0"/>
    <w:rsid w:val="00BC4897"/>
    <w:rsid w:val="00BC4E8E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4C4C"/>
    <w:rsid w:val="00BE5046"/>
    <w:rsid w:val="00BE6099"/>
    <w:rsid w:val="00BE6849"/>
    <w:rsid w:val="00BE6B57"/>
    <w:rsid w:val="00BE7B8B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66F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4F25"/>
    <w:rsid w:val="00C95F9D"/>
    <w:rsid w:val="00C9767B"/>
    <w:rsid w:val="00CA3E96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2271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6411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2B0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6F91"/>
    <w:rsid w:val="00E07C71"/>
    <w:rsid w:val="00E07DBF"/>
    <w:rsid w:val="00E113E5"/>
    <w:rsid w:val="00E11D0F"/>
    <w:rsid w:val="00E12028"/>
    <w:rsid w:val="00E122D0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0F9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636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27EA8"/>
    <w:rsid w:val="00F31C54"/>
    <w:rsid w:val="00F3201D"/>
    <w:rsid w:val="00F337E8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99B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A8799B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A8799B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A8799B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uiPriority w:val="99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uiPriority w:val="99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uiPriority w:val="99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1-Baslk">
    <w:name w:val="1-Baslık"/>
    <w:rsid w:val="003506B5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2-OrtaBaslk0">
    <w:name w:val="2-Orta Baslık"/>
    <w:rsid w:val="003506B5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stilbaslktimesnewroman9nk">
    <w:name w:val="stilbaslktimesnewroman9nk"/>
    <w:basedOn w:val="Normal"/>
    <w:rsid w:val="00077878"/>
    <w:pPr>
      <w:spacing w:before="100" w:beforeAutospacing="1" w:after="100" w:afterAutospacing="1"/>
    </w:pPr>
    <w:rPr>
      <w:lang w:val="tr-TR" w:eastAsia="tr-TR"/>
    </w:rPr>
  </w:style>
  <w:style w:type="paragraph" w:customStyle="1" w:styleId="stilbaslktimesnewroman9nkkaln">
    <w:name w:val="stilbaslktimesnewroman9nkkaln"/>
    <w:basedOn w:val="Normal"/>
    <w:rsid w:val="00077878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79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6DE6-8444-4F70-9384-C2EB1368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4770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4</cp:revision>
  <cp:lastPrinted>2013-01-25T06:10:00Z</cp:lastPrinted>
  <dcterms:created xsi:type="dcterms:W3CDTF">2013-01-28T07:29:00Z</dcterms:created>
  <dcterms:modified xsi:type="dcterms:W3CDTF">2013-01-28T08:14:00Z</dcterms:modified>
</cp:coreProperties>
</file>